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B14EE3" w:rsidRPr="002E3097" w:rsidTr="00FA24F3">
        <w:tc>
          <w:tcPr>
            <w:tcW w:w="1951" w:type="dxa"/>
          </w:tcPr>
          <w:p w:rsidR="00B14EE3" w:rsidRPr="002E3097" w:rsidRDefault="00B14EE3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B14EE3" w:rsidRPr="00D1409B" w:rsidRDefault="00B14EE3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B14EE3" w:rsidRPr="002E3097" w:rsidRDefault="00B14EE3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2509C">
        <w:trPr>
          <w:trHeight w:val="94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42509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2509C" w:rsidRDefault="0042509C"/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5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262970" w:rsidTr="00A349A8">
        <w:trPr>
          <w:trHeight w:val="37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42509C" w:rsidRPr="0026297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CC219F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 xml:space="preserve">19.06.24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4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37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42509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2509C" w:rsidRDefault="00D83B6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B89C682" wp14:editId="4F91489C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2509C" w:rsidRDefault="0042509C"/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8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Экономика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06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50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42509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2509C" w:rsidRDefault="0042509C"/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93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26297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42509C" w:rsidRPr="0026297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262970" w:rsidRDefault="0042509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5A047B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5A047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5A047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5A047B" w:rsidRPr="00262970" w:rsidRDefault="005A047B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5A047B" w:rsidRPr="005A047B" w:rsidRDefault="005A047B" w:rsidP="005A047B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262970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5A047B" w:rsidRPr="005A047B" w:rsidRDefault="005A047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2509C" w:rsidRPr="005A047B" w:rsidRDefault="0042509C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402"/>
        </w:trPr>
        <w:tc>
          <w:tcPr>
            <w:tcW w:w="47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42509C" w:rsidRPr="005A047B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42509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B14EE3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2509C" w:rsidRDefault="0042509C"/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80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9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1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89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1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88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42509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139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6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8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06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8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6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5" w:type="dxa"/>
          </w:tcPr>
          <w:p w:rsidR="0042509C" w:rsidRDefault="0042509C">
            <w:pPr>
              <w:pStyle w:val="EmptyLayoutCell"/>
            </w:pPr>
          </w:p>
        </w:tc>
      </w:tr>
    </w:tbl>
    <w:p w:rsidR="0042509C" w:rsidRDefault="0042509C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2509C">
        <w:trPr>
          <w:trHeight w:val="179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3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9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A349A8">
                    <w:rPr>
                      <w:i/>
                      <w:color w:val="000000"/>
                      <w:sz w:val="28"/>
                      <w:lang w:val="ru-RU"/>
                    </w:rPr>
                    <w:t>Экономика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28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2509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2509C" w:rsidRDefault="0042509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2509C" w:rsidRPr="0026297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2B46F8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Л. В.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Ватлина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зав. кафедрой теоретической и прикладной экономики; 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44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2509C" w:rsidRPr="0026297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211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2509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 w:rsidP="002B46F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42509C" w:rsidRDefault="0042509C"/>
        </w:tc>
        <w:tc>
          <w:tcPr>
            <w:tcW w:w="137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321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50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425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DB57E2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Распутин А.А</w:t>
                  </w:r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42509C" w:rsidRPr="00A349A8">
                    <w:rPr>
                      <w:color w:val="000000"/>
                      <w:sz w:val="28"/>
                      <w:lang w:val="ru-RU"/>
                    </w:rPr>
                    <w:t>. наук, доцент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103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CC219F" w:rsidTr="00A349A8">
        <w:trPr>
          <w:trHeight w:val="425"/>
        </w:trPr>
        <w:tc>
          <w:tcPr>
            <w:tcW w:w="4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CC2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 w:rsidP="00B14EE3">
                  <w:pPr>
                    <w:rPr>
                      <w:lang w:val="ru-RU"/>
                    </w:rPr>
                  </w:pP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CC219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Pr="00CC219F">
                    <w:rPr>
                      <w:color w:val="000000"/>
                      <w:sz w:val="28"/>
                      <w:lang w:val="ru-RU"/>
                    </w:rPr>
                    <w:t xml:space="preserve"> № 1</w:t>
                  </w:r>
                  <w:r w:rsidR="00B14EE3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2474"/>
        </w:trPr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c>
          <w:tcPr>
            <w:tcW w:w="4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2509C" w:rsidRPr="00CC219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CC219F" w:rsidRDefault="0042509C">
      <w:pPr>
        <w:rPr>
          <w:lang w:val="ru-RU"/>
        </w:rPr>
      </w:pPr>
      <w:r w:rsidRPr="00CC219F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42509C" w:rsidRPr="00CC219F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2509C" w:rsidRPr="00CC219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CC219F" w:rsidRDefault="0042509C">
                  <w:pPr>
                    <w:jc w:val="center"/>
                    <w:rPr>
                      <w:lang w:val="ru-RU"/>
                    </w:rPr>
                  </w:pPr>
                  <w:r w:rsidRPr="00CC219F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42509C" w:rsidRPr="00CC219F" w:rsidRDefault="0042509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CC219F">
        <w:trPr>
          <w:trHeight w:val="141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CC219F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4C1B97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Экономик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а-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использование основ экономических знаний в различных сферах деятельности для последующего формирования научного представления об фундаментальной экономики.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организация процесса оказания услуг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ресурсное обеспечение деятельности организаций в информационной сфере;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руководство персоналом организаций сферы информационных технологий;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обеспечение контроля и оценки эффективности деятельности организаций сферы информационных технологий;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составление технико-экономического обоснования проектных решений и технического задания на разработку информационной системы;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сбор детальной информации для формализации предметной области проекта и требований пользователей заказчика;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проектирование информационных систем в соответствии со спецификой профиля подготовки по видам обеспечения (программное, информационное, организационное, техническое);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участие в техническом и рабочем проектировании компонентов информационных систем в соответствии со спецификой профиля подготовки;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>- документирование проектов информационной системы на стадиях жизненного цикла, использование функциональных и технологических стандартов.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7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42509C" w:rsidRPr="0026297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УК-9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принимать обоснованные экономические решения в различных областях жизнедеятельности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УК-9.1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онимает базовые принципы функционирования экономики и экономического развития, цели и формы участия государства в экономике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 основы финансовой грамотности, как экономической категории;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 основы экономики и экономической деятельности, методы и инструменты экономического и финансового планирования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;.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proofErr w:type="gramEnd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 xml:space="preserve">-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позицию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обществе</w:t>
                  </w:r>
                  <w:proofErr w:type="spellEnd"/>
                  <w:r>
                    <w:rPr>
                      <w:color w:val="000000"/>
                      <w:sz w:val="24"/>
                    </w:rPr>
                    <w:t>;.</w:t>
                  </w:r>
                </w:p>
                <w:p w:rsidR="0042509C" w:rsidRDefault="0042509C"/>
              </w:tc>
            </w:tr>
            <w:tr w:rsidR="0042509C" w:rsidRPr="0026297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УК-9.2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рименяет методы личного экономического и финансового планирования для достижения текущих и 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базовую финансовую и экономическую терминологию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 xml:space="preserve">-ценностное содержание экономической культуры и ее формирование на уровне государства.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349A8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анализировать возможности прибыльного размещения временно свободных денежных средств частных лиц с целью сбережения и накопления;.</w:t>
                  </w:r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159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F51BFA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 xml:space="preserve">прохождении 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Ознакомительн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, Эксплуатационн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практик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и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защит</w:t>
                  </w:r>
                  <w:r w:rsidR="00F51BFA">
                    <w:rPr>
                      <w:color w:val="000000"/>
                      <w:sz w:val="28"/>
                      <w:lang w:val="ru-RU"/>
                    </w:rPr>
                    <w:t>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103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68</w:t>
                  </w:r>
                </w:p>
              </w:tc>
            </w:tr>
            <w:tr w:rsidR="0042509C" w:rsidRPr="002629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3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23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2509C" w:rsidRPr="0026297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349A8" w:rsidTr="00A349A8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78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DB57E2" w:rsidRDefault="00DB57E2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Pr="00A349A8" w:rsidRDefault="00A349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41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262970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2629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262970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329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5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3"/>
              <w:gridCol w:w="2715"/>
              <w:gridCol w:w="926"/>
              <w:gridCol w:w="683"/>
              <w:gridCol w:w="1396"/>
              <w:gridCol w:w="976"/>
              <w:gridCol w:w="924"/>
              <w:gridCol w:w="1558"/>
            </w:tblGrid>
            <w:tr w:rsidR="00A349A8" w:rsidRPr="00262970" w:rsidTr="00A349A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</w:tr>
            <w:tr w:rsidR="0042509C" w:rsidRPr="002629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1. Предмет и метод экономики. Сущность, причины и механизм возникновения рыночной экономики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масштаба.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Издержки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производства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42509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  <w:tr w:rsidR="00A349A8" w:rsidRPr="00262970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A349A8" w:rsidTr="00A349A8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A349A8" w:rsidTr="00A349A8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A349A8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/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644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262970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A349A8" w:rsidRDefault="00A349A8">
            <w:pPr>
              <w:rPr>
                <w:lang w:val="ru-RU"/>
              </w:rPr>
            </w:pPr>
          </w:p>
          <w:p w:rsidR="00DB57E2" w:rsidRPr="00A349A8" w:rsidRDefault="00DB57E2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42509C" w:rsidRPr="005A047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1. Предмет и метод экономики. Сущность, причины и механизм возникновения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2. Теория спроса и предложения.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Эластичность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потребительского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выбора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3. Производство и эффекты </w:t>
                  </w:r>
                  <w:proofErr w:type="spellStart"/>
                  <w:r w:rsidRPr="00A349A8">
                    <w:rPr>
                      <w:color w:val="000000"/>
                      <w:sz w:val="24"/>
                      <w:lang w:val="ru-RU"/>
                    </w:rPr>
                    <w:t>масштаба</w:t>
                  </w:r>
                  <w:proofErr w:type="gramStart"/>
                  <w:r w:rsidRPr="00A349A8">
                    <w:rPr>
                      <w:color w:val="000000"/>
                      <w:sz w:val="24"/>
                      <w:lang w:val="ru-RU"/>
                    </w:rPr>
                    <w:t>.И</w:t>
                  </w:r>
                  <w:proofErr w:type="gramEnd"/>
                  <w:r w:rsidRPr="00A349A8">
                    <w:rPr>
                      <w:color w:val="000000"/>
                      <w:sz w:val="24"/>
                      <w:lang w:val="ru-RU"/>
                    </w:rPr>
                    <w:t>здержки</w:t>
                  </w:r>
                  <w:proofErr w:type="spellEnd"/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4. Совершенная и несовершенная конкуренция.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рыночных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структур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5. Спрос на факторы производства. Общее равновесие и благосостояние, неравенство, роль государства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 w:rsidRPr="00A349A8">
                    <w:rPr>
                      <w:color w:val="000000"/>
                      <w:sz w:val="24"/>
                      <w:lang w:val="ru-RU"/>
                    </w:rPr>
                    <w:t xml:space="preserve">Тема 7. Кейнсианская модель потребления, сбережения и инвестиций.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Экономические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циклы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макроэкономическое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равновесие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8. Денежный рынок. Инфляция и ее виды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9. Сущность безработицы. Экономический рост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Тема 10. Кредитно-денежная политика. Бюджетно-налоговая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92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06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262970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29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4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2629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А.  Экономическая теория: учебник и практикум для вузов / Г. А.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Маховикова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Г. М.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Гукасьян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В. В. Амосова.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Москва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443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978-5-9916-5583-5.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lastRenderedPageBreak/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/468701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Поликарпова, Т. И.  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Т. И. Поликарпова. — 4-е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испр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 : Издательство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254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978-5-534-07287-7. — Текст: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/472084</w:t>
                  </w:r>
                </w:p>
              </w:tc>
            </w:tr>
            <w:tr w:rsidR="0042509C" w:rsidRPr="002629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>Экономическая теория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С. А. Толкачев [и др.] ; под редакцией С. А. Толкачева. — 2-е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и доп. — Москва: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Изда-тельство</w:t>
                  </w:r>
                  <w:proofErr w:type="spellEnd"/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, 2021. — 410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978-5-534-07435-2. — Текст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/468766</w:t>
                  </w:r>
                </w:p>
              </w:tc>
            </w:tr>
            <w:tr w:rsidR="00A349A8" w:rsidTr="00A349A8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2509C" w:rsidRPr="002629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Общая экономическая теория: Учебник / В.З.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Баликоев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- 16-е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- М.: НИЦ ИНФРА-М, 2015. - 528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90 1/16. 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978-5-16-010695-3, 500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=500805</w:t>
                  </w:r>
                </w:p>
              </w:tc>
            </w:tr>
            <w:tr w:rsidR="0042509C" w:rsidRPr="0026297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М.А. Сажина, Г.Г.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Чибриков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. — 3-е изд.,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пе-рераб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 и доп. — М.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ИД «ФОРУМ» : ИНФР</w:t>
                  </w:r>
                  <w:r w:rsidR="00D83B6C">
                    <w:rPr>
                      <w:color w:val="000000"/>
                      <w:sz w:val="28"/>
                      <w:lang w:val="ru-RU"/>
                    </w:rPr>
                    <w:t>А-М, 2019. — 608 с. — (Классиче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ский университетский учебник).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=987769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 w:rsidP="00D83B6C">
                  <w:pPr>
                    <w:jc w:val="both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Экономическая теория: Учебник / Николаева И.П., - 2-е изд. -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М.:Дашков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и К, 2017. - 328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978-5-394-02750-5.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=936030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72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1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262970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Вопросы экономики: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vopreco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Галерея экономистов: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openlab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spb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cgi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ise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gallery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федеральный портал «Экономика. Социология. Менеджмент»: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ecsocman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edu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Экономическая политика: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ep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ane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2509C" w:rsidRPr="0026297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294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5A04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</w:t>
                  </w:r>
                  <w:r w:rsidRPr="00A349A8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ОБЕСПЕЧЕНИЯ, В ТОМ ЧИСЛЕ ОТЕЧЕСТВЕННОГО ПРОИЗВОДСТВА</w:t>
                  </w: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18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RPr="005A047B" w:rsidTr="00A349A8"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A349A8" w:rsidRPr="005A047B" w:rsidTr="00A349A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2509C" w:rsidRPr="005A047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Pr="00A349A8" w:rsidRDefault="0042509C">
                  <w:pPr>
                    <w:jc w:val="center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2509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2509C" w:rsidRPr="005A047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2509C" w:rsidRDefault="0042509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5A047B">
        <w:trPr>
          <w:trHeight w:val="271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A349A8" w:rsidTr="00A349A8">
        <w:trPr>
          <w:trHeight w:val="425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Default="0042509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2509C" w:rsidRDefault="0042509C"/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42509C">
        <w:trPr>
          <w:trHeight w:val="120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240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157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1144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72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283" w:type="dxa"/>
          </w:tcPr>
          <w:p w:rsidR="0042509C" w:rsidRDefault="0042509C">
            <w:pPr>
              <w:pStyle w:val="EmptyLayoutCell"/>
            </w:pPr>
          </w:p>
        </w:tc>
      </w:tr>
      <w:tr w:rsidR="00A349A8" w:rsidRPr="00262970" w:rsidTr="00A349A8">
        <w:trPr>
          <w:trHeight w:val="425"/>
        </w:trPr>
        <w:tc>
          <w:tcPr>
            <w:tcW w:w="23" w:type="dxa"/>
          </w:tcPr>
          <w:p w:rsidR="0042509C" w:rsidRDefault="0042509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2509C" w:rsidRPr="002629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2509C" w:rsidRPr="00A349A8" w:rsidRDefault="0042509C">
                  <w:pPr>
                    <w:spacing w:before="200" w:after="200"/>
                    <w:rPr>
                      <w:lang w:val="ru-RU"/>
                    </w:rPr>
                  </w:pPr>
                  <w:r w:rsidRPr="00A349A8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A349A8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A349A8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2509C" w:rsidRPr="00A349A8" w:rsidRDefault="0042509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A349A8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2509C" w:rsidRPr="00A349A8" w:rsidRDefault="0042509C">
                  <w:pPr>
                    <w:rPr>
                      <w:lang w:val="ru-RU"/>
                    </w:rPr>
                  </w:pPr>
                </w:p>
              </w:tc>
            </w:tr>
          </w:tbl>
          <w:p w:rsidR="0042509C" w:rsidRPr="00A349A8" w:rsidRDefault="0042509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  <w:tr w:rsidR="0042509C" w:rsidRPr="00262970">
        <w:trPr>
          <w:trHeight w:val="1268"/>
        </w:trPr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2509C" w:rsidRPr="00A349A8" w:rsidRDefault="0042509C">
            <w:pPr>
              <w:pStyle w:val="EmptyLayoutCell"/>
              <w:rPr>
                <w:lang w:val="ru-RU"/>
              </w:rPr>
            </w:pPr>
          </w:p>
        </w:tc>
      </w:tr>
    </w:tbl>
    <w:p w:rsidR="0042509C" w:rsidRPr="00A349A8" w:rsidRDefault="0042509C">
      <w:pPr>
        <w:rPr>
          <w:lang w:val="ru-RU"/>
        </w:rPr>
      </w:pPr>
    </w:p>
    <w:sectPr w:rsidR="0042509C" w:rsidRPr="00A349A8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29" w:rsidRDefault="003F7A29">
      <w:r>
        <w:separator/>
      </w:r>
    </w:p>
  </w:endnote>
  <w:endnote w:type="continuationSeparator" w:id="0">
    <w:p w:rsidR="003F7A29" w:rsidRDefault="003F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p w:rsidR="0042509C" w:rsidRDefault="0042509C">
          <w:pPr>
            <w:pStyle w:val="EmptyLayoutCell"/>
          </w:pPr>
        </w:p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  <w:tr w:rsidR="0042509C">
      <w:tc>
        <w:tcPr>
          <w:tcW w:w="8796" w:type="dxa"/>
        </w:tcPr>
        <w:p w:rsidR="0042509C" w:rsidRDefault="0042509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2509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2509C" w:rsidRDefault="0042509C"/>
            </w:tc>
          </w:tr>
        </w:tbl>
        <w:p w:rsidR="0042509C" w:rsidRDefault="0042509C"/>
      </w:tc>
      <w:tc>
        <w:tcPr>
          <w:tcW w:w="463" w:type="dxa"/>
        </w:tcPr>
        <w:p w:rsidR="0042509C" w:rsidRDefault="0042509C">
          <w:pPr>
            <w:pStyle w:val="EmptyLayoutCell"/>
          </w:pPr>
        </w:p>
      </w:tc>
    </w:tr>
  </w:tbl>
  <w:p w:rsidR="0042509C" w:rsidRDefault="004250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29" w:rsidRDefault="003F7A29">
      <w:r>
        <w:separator/>
      </w:r>
    </w:p>
  </w:footnote>
  <w:footnote w:type="continuationSeparator" w:id="0">
    <w:p w:rsidR="003F7A29" w:rsidRDefault="003F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9A8"/>
    <w:rsid w:val="0018430B"/>
    <w:rsid w:val="00262970"/>
    <w:rsid w:val="002B46F8"/>
    <w:rsid w:val="002E2E53"/>
    <w:rsid w:val="003F7A29"/>
    <w:rsid w:val="0042509C"/>
    <w:rsid w:val="004C1B97"/>
    <w:rsid w:val="004C4527"/>
    <w:rsid w:val="005A047B"/>
    <w:rsid w:val="006323A7"/>
    <w:rsid w:val="008413EE"/>
    <w:rsid w:val="00A349A8"/>
    <w:rsid w:val="00B14EE3"/>
    <w:rsid w:val="00CC219F"/>
    <w:rsid w:val="00D83B6C"/>
    <w:rsid w:val="00DB57E2"/>
    <w:rsid w:val="00F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D83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B6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2025-06-03T04:20:00Z</dcterms:created>
  <dcterms:modified xsi:type="dcterms:W3CDTF">2025-11-12T08:44:00Z</dcterms:modified>
</cp:coreProperties>
</file>